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coulisses : faisons connaissance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Présentation croisée en action, face au public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Identification des points forts et axes d'amélioration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Capter son auditoire « Pour être écouté il faut instruire son public, lui plaire et l’émouvoir »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Savoir-être et posture du bon communicant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L’impact des 3 niveaux de la communication (verbale, non verbale et para verbale)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S’adapter à son public 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Préparer un contenu clair, concis et précis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Définir l’objectif de son message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Réaliser un support adapté à sa cible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Structurer son intervention 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 préparer personnellement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Apprivoiser le trac 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Lever ses blocages psychologiques et dépasser son appréhension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Gérer ses émotions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Entrée en scène : Mise en pratique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Jeux de rôles 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Analyse et identification des axes d’amélioration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Bonnes pratiques et astuces 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Occuper l’espace 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Gérer son temps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Réagir naturellement aux interventions 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Garder le cap face aux aléas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Solutions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Accueil des apprenants dans une salle dédiée à la formation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Documents supports de formation projetés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à disposition en ligne de documents supports à la suite de la formation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 de présence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cas concret et jeux de rôles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Aucun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nouvelle formation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Prendre la parole en public avec assurance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980.00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Développer sa posture d’orateur en milieu professionnel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 xml:space="preserve">Structurer son contenu d'intervention et son support visuel </w:t>
          </w:r>
        </w:p>
        <w:p>
          <w:pPr>
            <w:pStyle w:val="li"/>
            <w:numPr>
              <w:ilvl w:val="0"/>
              <w:numId w:val="1"/>
            </w:numPr>
            <w:spacing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S'exprimer avec clarté et aisance lors d'une présentation orale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programme_prendre-la-parole-en-public-avec-assurance</dc:title>
  <dc:creator>KEY FORM &amp; Solutions</dc:creator>
  <cp:revision>1</cp:revision>
</cp:coreProperties>
</file>