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  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Objectifs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pStyle w:val="li"/>
              <w:numPr>
                <w:ilvl w:val="0"/>
                <w:numId w:val="1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Gagner du temps dans la construction et la présentation de ses tableaux</w:t>
            </w:r>
          </w:p>
          <w:p>
            <w:pPr>
              <w:pStyle w:val="li"/>
              <w:numPr>
                <w:ilvl w:val="0"/>
                <w:numId w:val="1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Exploiter et analyser une liste de données</w:t>
            </w:r>
          </w:p>
          <w:p>
            <w:pPr>
              <w:pStyle w:val="li"/>
              <w:numPr>
                <w:ilvl w:val="0"/>
                <w:numId w:val="1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Utiliser toutes les fonctions de base d’Excel en environnement professionnel</w:t>
            </w:r>
          </w:p>
          <w:p>
            <w:pPr>
              <w:pStyle w:val="li"/>
              <w:numPr>
                <w:ilvl w:val="0"/>
                <w:numId w:val="1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des formules manuelles et utiliser les fonctions afin d’automatiser les calculs</w:t>
            </w:r>
          </w:p>
          <w:p>
            <w:pPr>
              <w:pStyle w:val="li"/>
              <w:numPr>
                <w:ilvl w:val="0"/>
                <w:numId w:val="1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Mettre en page et imprimer ses tableaux</w:t>
            </w:r>
          </w:p>
          <w:p>
            <w:pPr>
              <w:pStyle w:val="p"/>
              <w:spacing w:before="30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Personnaliser son environnement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barre d'accès rapide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options d'Excel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Gestion des classeurs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Enregistrer des modèles et partager un classeur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Protéger des feuilles ou un classeur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calculs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formules manuelles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références relatives, absolues et mixtes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Recopier une formule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balises actives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des séries personnalisées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fonctions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Fonctions statistiques et logiques (si, et, ou, ...)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Fonctions de dates (aujourd’hui, datedif, ...)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mises en forme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Utiliser et créer des styles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mise en forme automatique et conditionnelle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outils complémentaires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outils de dessin, les liens hypertextes et les commentaires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graphiques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Créer et mettre en forme un graphique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Enregistrer un modèle de graphique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Introduction aux bases de données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fondamentaux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Identifier une base de données de manière dynamique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Analyser les données avec le tableau croisé dynamique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impressions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Personnaliser les en-têtes et pieds de page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Définir les sauts de pages, répéter des en-têtes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Solutions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Méthode démonstrative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en pratique à travers des cas concrets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Échanges de pratique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Feuilles de présence.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Questions orales ou écrites (QCM).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Formulaires d'évaluation de la formation.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Certification PCIE au terme de la formation (Code CPF : 146867)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Connaissance de base de Windows et notions de base d'Excel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Taux de satisfaction : 97%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1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624" w:bottom="340" w:left="624" w:header="510" w:footer="34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6"/>
        <w:szCs w:val="16"/>
      </w:rPr>
      <w:t>KEY FORM &amp; Solutions</w:t>
    </w:r>
    <w:r>
      <w:rPr>
        <w:rFonts w:ascii="Calibri" w:eastAsia="Calibri" w:hAnsi="Calibri" w:cs="Calibri"/>
        <w:color w:val="999999"/>
        <w:sz w:val="16"/>
        <w:szCs w:val="16"/>
      </w:rPr>
      <w:t> | </w:t>
    </w:r>
    <w:r>
      <w:rPr>
        <w:rStyle w:val="tag"/>
        <w:rFonts w:ascii="Calibri" w:eastAsia="Calibri" w:hAnsi="Calibri" w:cs="Calibri"/>
        <w:color w:val="999999"/>
        <w:sz w:val="16"/>
        <w:szCs w:val="16"/>
      </w:rPr>
      <w:t>7 rue de Vezin</w:t>
    </w:r>
    <w:r>
      <w:rPr>
        <w:rFonts w:ascii="Calibri" w:eastAsia="Calibri" w:hAnsi="Calibri" w:cs="Calibri"/>
        <w:color w:val="999999"/>
        <w:sz w:val="16"/>
        <w:szCs w:val="16"/>
      </w:rPr>
      <w:t>, </w:t>
    </w:r>
    <w:r>
      <w:rPr>
        <w:rStyle w:val="tag"/>
        <w:rFonts w:ascii="Calibri" w:eastAsia="Calibri" w:hAnsi="Calibri" w:cs="Calibri"/>
        <w:color w:val="999999"/>
        <w:sz w:val="16"/>
        <w:szCs w:val="16"/>
      </w:rPr>
      <w:t>Rennes</w:t>
    </w:r>
    <w:r>
      <w:rPr>
        <w:rFonts w:ascii="Calibri" w:eastAsia="Calibri" w:hAnsi="Calibri" w:cs="Calibri"/>
        <w:color w:val="999999"/>
        <w:sz w:val="16"/>
        <w:szCs w:val="16"/>
      </w:rPr>
      <w:t> </w:t>
    </w:r>
    <w:r>
      <w:rPr>
        <w:rStyle w:val="tag"/>
        <w:rFonts w:ascii="Calibri" w:eastAsia="Calibri" w:hAnsi="Calibri" w:cs="Calibri"/>
        <w:color w:val="999999"/>
        <w:sz w:val="16"/>
        <w:szCs w:val="16"/>
      </w:rPr>
      <w:t>35000</w:t>
    </w:r>
    <w:r>
      <w:rPr>
        <w:rFonts w:ascii="Calibri" w:eastAsia="Calibri" w:hAnsi="Calibri" w:cs="Calibri"/>
        <w:color w:val="999999"/>
        <w:sz w:val="16"/>
        <w:szCs w:val="16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br/>
    </w:r>
    <w:r>
      <w:rPr>
        <w:rFonts w:ascii="Calibri" w:eastAsia="Calibri" w:hAnsi="Calibri" w:cs="Calibri"/>
        <w:color w:val="999999"/>
        <w:sz w:val="16"/>
        <w:szCs w:val="16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t>53351021035</w:t>
    </w:r>
    <w:r>
      <w:rPr>
        <w:rFonts w:ascii="Calibri" w:eastAsia="Calibri" w:hAnsi="Calibri" w:cs="Calibri"/>
        <w:i/>
        <w:iCs/>
        <w:color w:val="999999"/>
        <w:sz w:val="16"/>
        <w:szCs w:val="16"/>
      </w:rPr>
      <w:t> (auprès du préfet de région de:</w:t>
    </w:r>
    <w:r>
      <w:rPr>
        <w:rFonts w:ascii="Calibri" w:eastAsia="Calibri" w:hAnsi="Calibri" w:cs="Calibri"/>
        <w:color w:val="999999"/>
        <w:sz w:val="16"/>
        <w:szCs w:val="16"/>
      </w:rPr>
      <w:t> 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t>Bretagne</w:t>
    </w:r>
    <w:r>
      <w:rPr>
        <w:rFonts w:ascii="Calibri" w:eastAsia="Calibri" w:hAnsi="Calibri" w:cs="Calibri"/>
        <w:i/>
        <w:iCs/>
        <w:color w:val="999999"/>
        <w:sz w:val="16"/>
        <w:szCs w:val="16"/>
      </w:rPr>
      <w:t>) | Dernière mise à jour : 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t>20 mars 2026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6"/>
        <w:szCs w:val="16"/>
      </w:rPr>
      <w:t>KEY FORM &amp; Solutions</w:t>
    </w:r>
    <w:r>
      <w:rPr>
        <w:rFonts w:ascii="Calibri" w:eastAsia="Calibri" w:hAnsi="Calibri" w:cs="Calibri"/>
        <w:color w:val="999999"/>
        <w:sz w:val="16"/>
        <w:szCs w:val="16"/>
      </w:rPr>
      <w:t> | </w:t>
    </w:r>
    <w:r>
      <w:rPr>
        <w:rStyle w:val="tag"/>
        <w:rFonts w:ascii="Calibri" w:eastAsia="Calibri" w:hAnsi="Calibri" w:cs="Calibri"/>
        <w:color w:val="999999"/>
        <w:sz w:val="16"/>
        <w:szCs w:val="16"/>
      </w:rPr>
      <w:t>7 rue de Vezin</w:t>
    </w:r>
    <w:r>
      <w:rPr>
        <w:rFonts w:ascii="Calibri" w:eastAsia="Calibri" w:hAnsi="Calibri" w:cs="Calibri"/>
        <w:color w:val="999999"/>
        <w:sz w:val="16"/>
        <w:szCs w:val="16"/>
      </w:rPr>
      <w:t>, </w:t>
    </w:r>
    <w:r>
      <w:rPr>
        <w:rStyle w:val="tag"/>
        <w:rFonts w:ascii="Calibri" w:eastAsia="Calibri" w:hAnsi="Calibri" w:cs="Calibri"/>
        <w:color w:val="999999"/>
        <w:sz w:val="16"/>
        <w:szCs w:val="16"/>
      </w:rPr>
      <w:t>Rennes</w:t>
    </w:r>
    <w:r>
      <w:rPr>
        <w:rFonts w:ascii="Calibri" w:eastAsia="Calibri" w:hAnsi="Calibri" w:cs="Calibri"/>
        <w:color w:val="999999"/>
        <w:sz w:val="16"/>
        <w:szCs w:val="16"/>
      </w:rPr>
      <w:t> </w:t>
    </w:r>
    <w:r>
      <w:rPr>
        <w:rStyle w:val="tag"/>
        <w:rFonts w:ascii="Calibri" w:eastAsia="Calibri" w:hAnsi="Calibri" w:cs="Calibri"/>
        <w:color w:val="999999"/>
        <w:sz w:val="16"/>
        <w:szCs w:val="16"/>
      </w:rPr>
      <w:t>35000</w:t>
    </w:r>
    <w:r>
      <w:rPr>
        <w:rFonts w:ascii="Calibri" w:eastAsia="Calibri" w:hAnsi="Calibri" w:cs="Calibri"/>
        <w:color w:val="999999"/>
        <w:sz w:val="16"/>
        <w:szCs w:val="16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br/>
    </w:r>
    <w:r>
      <w:rPr>
        <w:rFonts w:ascii="Calibri" w:eastAsia="Calibri" w:hAnsi="Calibri" w:cs="Calibri"/>
        <w:color w:val="999999"/>
        <w:sz w:val="16"/>
        <w:szCs w:val="16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t>53351021035</w:t>
    </w:r>
    <w:r>
      <w:rPr>
        <w:rFonts w:ascii="Calibri" w:eastAsia="Calibri" w:hAnsi="Calibri" w:cs="Calibri"/>
        <w:i/>
        <w:iCs/>
        <w:color w:val="999999"/>
        <w:sz w:val="16"/>
        <w:szCs w:val="16"/>
      </w:rPr>
      <w:t> (auprès du préfet de région de:</w:t>
    </w:r>
    <w:r>
      <w:rPr>
        <w:rFonts w:ascii="Calibri" w:eastAsia="Calibri" w:hAnsi="Calibri" w:cs="Calibri"/>
        <w:color w:val="999999"/>
        <w:sz w:val="16"/>
        <w:szCs w:val="16"/>
      </w:rPr>
      <w:t> 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t>Bretagne</w:t>
    </w:r>
    <w:r>
      <w:rPr>
        <w:rFonts w:ascii="Calibri" w:eastAsia="Calibri" w:hAnsi="Calibri" w:cs="Calibri"/>
        <w:i/>
        <w:iCs/>
        <w:color w:val="999999"/>
        <w:sz w:val="16"/>
        <w:szCs w:val="16"/>
      </w:rPr>
      <w:t>) | Dernière mise à jour : </w:t>
    </w:r>
    <w:r>
      <w:rPr>
        <w:rStyle w:val="tag"/>
        <w:rFonts w:ascii="Calibri" w:eastAsia="Calibri" w:hAnsi="Calibri" w:cs="Calibri"/>
        <w:i/>
        <w:iCs/>
        <w:color w:val="999999"/>
        <w:sz w:val="16"/>
        <w:szCs w:val="16"/>
      </w:rPr>
      <w:t>20 mars 2026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>Excel Intermédiaire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Présentiel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14.00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2.00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183B68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700.00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Prenez confiance avec Excel et passez au niveau supérieur grâce à notre formation intermédiaire. Apprenez à utiliser des fonctions avancées, à automatiser vos tâches avec des formules complexes et à concevoir des graphiques clairs et impactants. Cette formation est idéale pour ceux qui maîtrisent déjà les bases d’Excel et souhaitent optimiser leur travail au quotidien.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FORM &amp;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programme_excel-intermediaire</dc:title>
  <dc:creator>KEY FORM &amp; Solutions</dc:creator>
  <cp:revision>1</cp:revision>
</cp:coreProperties>
</file>