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7.0 -->
  <w:body>
    <w:tbl>
      <w:tblPr>
        <w:tblStyle w:val="table"/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7722"/>
        <w:gridCol w:w="2856"/>
      </w:tblGrid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tcW w:w="3650" w:type="pct"/>
            <w:vMerge w:val="restar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Programme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</w:t>
            </w:r>
          </w:p>
          <w:p>
            <w:pPr>
              <w:numPr>
                <w:ilvl w:val="0"/>
                <w:numId w:val="2"/>
              </w:numPr>
              <w:spacing w:before="3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Rappel des notions de base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Mise en forme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Mise en page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Publipostage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La base de données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Outils Fusion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Créer un publipostage avec/sans assistant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Filtrer les données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Fusionner vers des documents ou vers l’imprimante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Créer des étiquettes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styles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 volet Styles (mise en forme)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Gérer ses styles (créer, modifier, supprimer)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Organiser ses styles d’un document à un autre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Gestion de documents longs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 mode Plan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Créer et gérer les styles (numérotation, mise en forme…)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Créer et mettre à jour une table des matières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Insertion d’objets graphiques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Insérer et gérer les images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Insérer un WordArt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Insérer des objets (formes automatiques, zones de textes, organigrammes, diagrammes)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Mettre en forme les graphismes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Fonctions avancées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Insérer un tableau Excel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Protéger un document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Transformer un document Word en PDF</w:t>
            </w:r>
          </w:p>
          <w:p>
            <w:pPr>
              <w:pStyle w:val="p"/>
              <w:spacing w:before="30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</w:rPr>
              <w:t> 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Equipe pédagogique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  </w:t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L’équipe pédagogique de KEY FORM &amp; Solution se compose d’une dizaine de professionnels alliant compétences pédagogiques et vécus professionnels issus de différents horizons (commerce, communication, associations, entreprises, organismes de formation professionnelle, service public de l’emploi…).</w:t>
            </w:r>
          </w:p>
          <w:p>
            <w:pPr>
              <w:pStyle w:val="p"/>
              <w:spacing w:before="15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12"/>
                <w:szCs w:val="12"/>
              </w:rPr>
              <w:t> 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Moyens pédagogiques et techniques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li"/>
              <w:numPr>
                <w:ilvl w:val="0"/>
                <w:numId w:val="3"/>
              </w:numPr>
              <w:spacing w:before="30"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Accueil des stagiaires dans une salle dédiée à la formation.</w:t>
            </w:r>
          </w:p>
          <w:p>
            <w:pPr>
              <w:pStyle w:val="li"/>
              <w:numPr>
                <w:ilvl w:val="0"/>
                <w:numId w:val="3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Vidéos</w:t>
            </w:r>
          </w:p>
          <w:p>
            <w:pPr>
              <w:pStyle w:val="li"/>
              <w:numPr>
                <w:ilvl w:val="0"/>
                <w:numId w:val="3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Exposés théoriques</w:t>
            </w:r>
          </w:p>
          <w:p>
            <w:pPr>
              <w:pStyle w:val="li"/>
              <w:numPr>
                <w:ilvl w:val="0"/>
                <w:numId w:val="3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Quiz en ligne</w:t>
            </w:r>
          </w:p>
          <w:p>
            <w:pPr>
              <w:pStyle w:val="li"/>
              <w:numPr>
                <w:ilvl w:val="0"/>
                <w:numId w:val="3"/>
              </w:numPr>
              <w:spacing w:after="3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Mise à disposition en ligne de documents supports à la suite de la formation.</w:t>
            </w:r>
          </w:p>
          <w:p>
            <w:pPr>
              <w:pStyle w:val="p"/>
              <w:spacing w:before="30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</w:rPr>
              <w:t> 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Suivi de l'exécution et évaluation des résultats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6131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li"/>
              <w:numPr>
                <w:ilvl w:val="0"/>
                <w:numId w:val="4"/>
              </w:numPr>
              <w:spacing w:before="30"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Feuilles de présence.</w:t>
            </w:r>
          </w:p>
          <w:p>
            <w:pPr>
              <w:pStyle w:val="li"/>
              <w:numPr>
                <w:ilvl w:val="0"/>
                <w:numId w:val="4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Questions orales ou écrites (QCM).</w:t>
            </w:r>
          </w:p>
          <w:p>
            <w:pPr>
              <w:pStyle w:val="li"/>
              <w:numPr>
                <w:ilvl w:val="0"/>
                <w:numId w:val="4"/>
              </w:numPr>
              <w:spacing w:after="3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Formulaires d'évaluation de la formation.</w:t>
            </w:r>
          </w:p>
          <w:p>
            <w:pPr>
              <w:pStyle w:val="p"/>
              <w:spacing w:before="30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Profil Apprenant(s)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300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li"/>
              <w:numPr>
                <w:ilvl w:val="0"/>
                <w:numId w:val="5"/>
              </w:numPr>
              <w:spacing w:before="0" w:after="30"/>
              <w:ind w:left="375" w:hanging="183"/>
              <w:jc w:val="left"/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Tout public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Pré-requis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300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li"/>
              <w:numPr>
                <w:ilvl w:val="0"/>
                <w:numId w:val="6"/>
              </w:numPr>
              <w:spacing w:before="0" w:after="30"/>
              <w:ind w:left="375" w:hanging="183"/>
              <w:jc w:val="left"/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Connaissance des fondamentaux du traitement de texte Word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Demande d'informations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vMerge w:val="restart"/>
            <w:tcBorders>
              <w:bottom w:val="none" w:sz="0" w:space="0" w:color="auto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02 30 96 68 40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formation@key-form.fr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Accessibilité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Conforme - Organisme ERP5 Référent handicap : Etienne RUPIN Sous un préavis de 30 jours pour s'assurer des conditions d'accueil adaptées. Contact : formation@key-form.fr - Tel 02 30 96 68 40</w:t>
            </w: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br/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personnes en situation de handicap bénéficient d’un accompagnement individuel par notre référent handicap dédié.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Dates et délais d'accès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La durée estimée entre la demande et l'entrée en formation varie selon les modalités de financement : temps de traitement du dossier des prises en charge, délai de rétractation pour les particuliers.</w:t>
            </w: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br/>
            </w: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Formations CPF : délai de 11 jours ouvrés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Lieu de formation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mallCaps w:val="0"/>
                <w:color w:val="000000"/>
                <w:sz w:val="18"/>
                <w:szCs w:val="18"/>
              </w:rPr>
              <w:t>Inter :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KEY FORM &amp; Solutions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 rue de Vezin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35000 Rennes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mallCaps w:val="0"/>
                <w:color w:val="000000"/>
                <w:sz w:val="18"/>
                <w:szCs w:val="18"/>
              </w:rPr>
              <w:t>Intra :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France métropolitaine 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Indicateurs de qualité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Taux de satisfaction : 94%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</w:rPr>
              <w:drawing>
                <wp:inline>
                  <wp:extent cx="1333500" cy="571500"/>
                  <wp:docPr id="10000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p"/>
        <w:spacing w:before="15" w:after="30"/>
        <w:ind w:left="0" w:right="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 </w:t>
      </w:r>
    </w:p>
    <w:p w:rsidR="00A77B3E"/>
    <w:sectPr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10" w:right="624" w:bottom="340" w:left="624" w:header="510" w:footer="34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"/>
      <w:spacing w:before="15" w:after="30"/>
      <w:ind w:left="0" w:right="0"/>
      <w:jc w:val="center"/>
      <w:rPr>
        <w:rFonts w:ascii="Calibri" w:eastAsia="Calibri" w:hAnsi="Calibri" w:cs="Calibri"/>
        <w:sz w:val="18"/>
        <w:szCs w:val="18"/>
      </w:rPr>
    </w:pPr>
    <w:r>
      <w:rPr>
        <w:rStyle w:val="tag"/>
        <w:rFonts w:ascii="Calibri" w:eastAsia="Calibri" w:hAnsi="Calibri" w:cs="Calibri"/>
        <w:color w:val="999999"/>
        <w:sz w:val="18"/>
        <w:szCs w:val="18"/>
      </w:rPr>
      <w:t>KEY FORM &amp; Solutions</w:t>
    </w:r>
    <w:r>
      <w:rPr>
        <w:rFonts w:ascii="Calibri" w:eastAsia="Calibri" w:hAnsi="Calibri" w:cs="Calibri"/>
        <w:color w:val="999999"/>
        <w:sz w:val="18"/>
        <w:szCs w:val="18"/>
      </w:rPr>
      <w:t> |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7 rue de Vezin</w:t>
    </w:r>
    <w:r>
      <w:rPr>
        <w:rFonts w:ascii="Calibri" w:eastAsia="Calibri" w:hAnsi="Calibri" w:cs="Calibri"/>
        <w:color w:val="999999"/>
        <w:sz w:val="18"/>
        <w:szCs w:val="18"/>
      </w:rPr>
      <w:t>,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Rennes</w:t>
    </w:r>
    <w:r>
      <w:rPr>
        <w:rFonts w:ascii="Calibri" w:eastAsia="Calibri" w:hAnsi="Calibri" w:cs="Calibri"/>
        <w:color w:val="999999"/>
        <w:sz w:val="18"/>
        <w:szCs w:val="18"/>
      </w:rPr>
      <w:t>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35000</w:t>
    </w:r>
    <w:r>
      <w:rPr>
        <w:rFonts w:ascii="Calibri" w:eastAsia="Calibri" w:hAnsi="Calibri" w:cs="Calibri"/>
        <w:color w:val="999999"/>
        <w:sz w:val="18"/>
        <w:szCs w:val="18"/>
      </w:rPr>
      <w:t> | Numéro SIRET: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83759947100021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br/>
    </w:r>
    <w:r>
      <w:rPr>
        <w:rFonts w:ascii="Calibri" w:eastAsia="Calibri" w:hAnsi="Calibri" w:cs="Calibri"/>
        <w:color w:val="999999"/>
        <w:sz w:val="18"/>
        <w:szCs w:val="18"/>
      </w:rPr>
      <w:t>Numéro de déclaration d'activité: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53351021035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 (auprès du préfet de région de:</w:t>
    </w:r>
    <w:r>
      <w:rPr>
        <w:rFonts w:ascii="Calibri" w:eastAsia="Calibri" w:hAnsi="Calibri" w:cs="Calibri"/>
        <w:color w:val="999999"/>
        <w:sz w:val="18"/>
        <w:szCs w:val="18"/>
      </w:rPr>
      <w:t xml:space="preserve">  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Bretagne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) | Dernière m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ise à jour 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13 juin 2025</w:t>
    </w:r>
  </w:p>
  <w:p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"/>
      <w:spacing w:before="15" w:after="30"/>
      <w:ind w:left="0" w:right="0"/>
      <w:jc w:val="center"/>
      <w:rPr>
        <w:rFonts w:ascii="Calibri" w:eastAsia="Calibri" w:hAnsi="Calibri" w:cs="Calibri"/>
        <w:sz w:val="18"/>
        <w:szCs w:val="18"/>
      </w:rPr>
    </w:pPr>
    <w:r>
      <w:rPr>
        <w:rStyle w:val="tag"/>
        <w:rFonts w:ascii="Calibri" w:eastAsia="Calibri" w:hAnsi="Calibri" w:cs="Calibri"/>
        <w:color w:val="999999"/>
        <w:sz w:val="18"/>
        <w:szCs w:val="18"/>
      </w:rPr>
      <w:t>KEY FORM &amp; Solutions</w:t>
    </w:r>
    <w:r>
      <w:rPr>
        <w:rFonts w:ascii="Calibri" w:eastAsia="Calibri" w:hAnsi="Calibri" w:cs="Calibri"/>
        <w:color w:val="999999"/>
        <w:sz w:val="18"/>
        <w:szCs w:val="18"/>
      </w:rPr>
      <w:t> |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7 rue de Vezin</w:t>
    </w:r>
    <w:r>
      <w:rPr>
        <w:rFonts w:ascii="Calibri" w:eastAsia="Calibri" w:hAnsi="Calibri" w:cs="Calibri"/>
        <w:color w:val="999999"/>
        <w:sz w:val="18"/>
        <w:szCs w:val="18"/>
      </w:rPr>
      <w:t>,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Rennes</w:t>
    </w:r>
    <w:r>
      <w:rPr>
        <w:rFonts w:ascii="Calibri" w:eastAsia="Calibri" w:hAnsi="Calibri" w:cs="Calibri"/>
        <w:color w:val="999999"/>
        <w:sz w:val="18"/>
        <w:szCs w:val="18"/>
      </w:rPr>
      <w:t>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35000</w:t>
    </w:r>
    <w:r>
      <w:rPr>
        <w:rFonts w:ascii="Calibri" w:eastAsia="Calibri" w:hAnsi="Calibri" w:cs="Calibri"/>
        <w:color w:val="999999"/>
        <w:sz w:val="18"/>
        <w:szCs w:val="18"/>
      </w:rPr>
      <w:t> | Numéro SIRET: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83759947100021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br/>
    </w:r>
    <w:r>
      <w:rPr>
        <w:rFonts w:ascii="Calibri" w:eastAsia="Calibri" w:hAnsi="Calibri" w:cs="Calibri"/>
        <w:color w:val="999999"/>
        <w:sz w:val="18"/>
        <w:szCs w:val="18"/>
      </w:rPr>
      <w:t>Numéro de déclaration d'activité: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53351021035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 (auprès du préfet de région de:</w:t>
    </w:r>
    <w:r>
      <w:rPr>
        <w:rFonts w:ascii="Calibri" w:eastAsia="Calibri" w:hAnsi="Calibri" w:cs="Calibri"/>
        <w:color w:val="999999"/>
        <w:sz w:val="18"/>
        <w:szCs w:val="18"/>
      </w:rPr>
      <w:t xml:space="preserve">  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Bretagne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) | Dernière m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ise à jour 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13 juin 2025</w:t>
    </w:r>
  </w:p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"/>
      <w:tblW w:w="5000" w:type="pct"/>
      <w:tblInd w:w="80" w:type="dxa"/>
      <w:tblCellMar>
        <w:top w:w="75" w:type="dxa"/>
        <w:left w:w="75" w:type="dxa"/>
        <w:bottom w:w="75" w:type="dxa"/>
        <w:right w:w="75" w:type="dxa"/>
      </w:tblCellMar>
      <w:tblLook w:val="05E0"/>
    </w:tblPr>
    <w:tblGrid>
      <w:gridCol w:w="5818"/>
      <w:gridCol w:w="4760"/>
    </w:tblGrid>
    <w:tr>
      <w:tblPrEx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Ex>
      <w:trPr>
        <w:trHeight w:val="600"/>
      </w:trPr>
      <w:tc>
        <w:tcPr>
          <w:tcW w:w="5000" w:type="pct"/>
          <w:gridSpan w:val="2"/>
          <w:shd w:val="clear" w:color="auto" w:fill="48B9B2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jc w:val="center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8"/>
              <w:szCs w:val="28"/>
            </w:rPr>
            <w:t> </w:t>
          </w:r>
          <w:r>
            <w:rPr>
              <w:rStyle w:val="tag"/>
              <w:rFonts w:ascii="Arial" w:eastAsia="Arial" w:hAnsi="Arial" w:cs="Arial"/>
              <w:b w:val="0"/>
              <w:bCs w:val="0"/>
              <w:i w:val="0"/>
              <w:iCs w:val="0"/>
              <w:smallCaps w:val="0"/>
              <w:color w:val="FFFFFF"/>
              <w:sz w:val="32"/>
              <w:szCs w:val="32"/>
            </w:rPr>
            <w:t xml:space="preserve">Word Perfectionnement 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  <w:t> 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>(</w:t>
          </w: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>Formation présentielle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>)</w:t>
          </w:r>
        </w:p>
      </w:tc>
    </w:tr>
    <w:tr>
      <w:tblPrEx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Ex>
      <w:trPr>
        <w:trHeight w:val="525"/>
      </w:trPr>
      <w:tc>
        <w:tcPr>
          <w:tcW w:w="2750" w:type="pct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pStyle w:val="p"/>
            <w:spacing w:before="15" w:after="30"/>
            <w:ind w:left="0" w:right="0"/>
            <w:jc w:val="righ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14.00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 h / </w:t>
          </w: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2.00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 jour(s)</w:t>
          </w:r>
        </w:p>
      </w:tc>
      <w:tc>
        <w:tcPr>
          <w:tcW w:w="3040" w:type="dxa"/>
          <w:shd w:val="clear" w:color="auto" w:fill="183B68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pStyle w:val="p"/>
            <w:spacing w:before="15" w:after="30"/>
            <w:ind w:left="0" w:right="0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26"/>
              <w:szCs w:val="26"/>
            </w:rPr>
            <w:t>700.00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26"/>
              <w:szCs w:val="26"/>
            </w:rPr>
            <w:t> € TTC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 xml:space="preserve"> en Inter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br/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22"/>
              <w:szCs w:val="22"/>
            </w:rPr>
            <w:t>(Intra et groupe sur demande)</w:t>
          </w:r>
        </w:p>
      </w:tc>
    </w:tr>
    <w:tr>
      <w:tblPrEx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Ex>
      <w:tc>
        <w:tcPr>
          <w:tcW w:w="6190" w:type="dxa"/>
          <w:gridSpan w:val="2"/>
          <w:shd w:val="clear" w:color="auto" w:fill="4A474E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pStyle w:val="p"/>
            <w:spacing w:before="15" w:after="30"/>
            <w:ind w:left="600" w:right="0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12"/>
              <w:szCs w:val="12"/>
            </w:rPr>
            <w:t> </w:t>
          </w:r>
          <w:r>
            <w:rPr>
              <w:rFonts w:ascii="Verdana" w:eastAsia="Verdana" w:hAnsi="Verdana" w:cs="Verdana"/>
              <w:b w:val="0"/>
              <w:bCs w:val="0"/>
              <w:i w:val="0"/>
              <w:iCs w:val="0"/>
              <w:smallCaps w:val="0"/>
              <w:color w:val="FFFFFF"/>
              <w:sz w:val="26"/>
              <w:szCs w:val="26"/>
            </w:rPr>
            <w:t>Objectif(s)</w:t>
          </w:r>
        </w:p>
        <w:p>
          <w:pPr>
            <w:pStyle w:val="li"/>
            <w:numPr>
              <w:ilvl w:val="0"/>
              <w:numId w:val="1"/>
            </w:numPr>
            <w:spacing w:before="30" w:after="0"/>
            <w:ind w:left="975" w:hanging="183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  <w:t>Savoir accélérer la production de documents répétitifs grâce aux possibilités d’automatisation de Word</w:t>
          </w:r>
        </w:p>
        <w:p>
          <w:pPr>
            <w:pStyle w:val="li"/>
            <w:numPr>
              <w:ilvl w:val="0"/>
              <w:numId w:val="1"/>
            </w:numPr>
            <w:spacing w:after="30"/>
            <w:ind w:left="975" w:hanging="183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  <w:t>Gérer vos documents longs et faciliter la création de courriers grâce au publipostage</w: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tag">
    <w:name w:val="tag"/>
    <w:basedOn w:val="DefaultParagraphFont"/>
  </w:style>
  <w:style w:type="paragraph" w:customStyle="1" w:styleId="p">
    <w:name w:val="p"/>
    <w:basedOn w:val="Normal"/>
  </w:style>
  <w:style w:type="paragraph" w:customStyle="1" w:styleId="li">
    <w:name w:val="li"/>
    <w:basedOn w:val="Normal"/>
    <w:pPr>
      <w:pBdr>
        <w:top w:val="none" w:sz="0" w:space="0" w:color="auto"/>
        <w:bottom w:val="none" w:sz="0" w:space="0" w:color="auto"/>
      </w:pBdr>
    </w:pPr>
  </w:style>
  <w:style w:type="table" w:customStyle="1" w:styleId="table">
    <w:name w:val="table"/>
    <w:basedOn w:val="TableNormal"/>
    <w:tblPr/>
  </w:style>
  <w:style w:type="paragraph" w:customStyle="1" w:styleId="Footer">
    <w:name w:val="Footer"/>
    <w:rPr>
      <w:rFonts w:ascii="Calibri" w:eastAsia="Calibri" w:hAnsi="Calibri" w:cs="Calibri"/>
      <w:b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 FORM &amp; Solutions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programme_word-perfectionnement</dc:title>
  <dc:creator>KEY FORM &amp; Solutions</dc:creator>
  <cp:revision>1</cp:revision>
</cp:coreProperties>
</file>