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Préparer ses écrits en définissant des objectifs, une cible et un format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Identifier le message à faire passer et définir des objectifs clairs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Déterminer les cibles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Sélectionner le format le plus pertinent (note, synthèse, compte-rendu, lettre,...)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Structurer ses idées et hiérarchiser l'information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Quiz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 lancer dans la rédaction en fonction des objectifs et de la cible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 choisissant une forme de discours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 développant un raisonnement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 choisissant un format adapté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 mobilisant un vocabulaire adapté à sa cible et son format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Quiz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Finaliser ses écrits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Eviter les pièges en orthographe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Relire ses écrits éfficacement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Illustrer ses propos pour plus de pertinence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Mettre en page ses écrits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Exercices pratiques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Solutions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Accueil des stagiaires dans une salle dédiée à la formation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Documents supports de formation projetés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Exposés théoriques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Quiz en salle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Feuilles de présence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Séances d'écriture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Cette formation ne nécessite aucun prérequis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Formations CPF : délai de 11 jours ouvrés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89%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Rédiger des écrits professionnels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14.00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2.00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980.00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Acquérir une méthodologie de la communication écrite pour gagner en aisance, en efficacité et en qualité dans la réalisation de ses écrits professionnels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programme_rediger-des-ecrits-professionnels</dc:title>
  <dc:creator>KEY FORM &amp; Solutions</dc:creator>
  <cp:revision>1</cp:revision>
</cp:coreProperties>
</file>